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A2" w:rsidRPr="00EF620F" w:rsidRDefault="009A78A2" w:rsidP="00EF620F">
      <w:pPr>
        <w:widowControl/>
        <w:spacing w:line="480" w:lineRule="exact"/>
        <w:jc w:val="center"/>
        <w:rPr>
          <w:rFonts w:eastAsia="Times New Roman" w:cs="??_GB2312"/>
          <w:b/>
          <w:bCs/>
          <w:kern w:val="0"/>
          <w:sz w:val="28"/>
          <w:szCs w:val="28"/>
        </w:rPr>
      </w:pPr>
      <w:r w:rsidRPr="00EF620F">
        <w:rPr>
          <w:rFonts w:ascii="Calibri" w:hAnsi="Calibri" w:hint="eastAsia"/>
          <w:b/>
          <w:kern w:val="0"/>
          <w:sz w:val="28"/>
          <w:szCs w:val="28"/>
        </w:rPr>
        <w:t>附件一：</w:t>
      </w:r>
      <w:r w:rsidRPr="00EF620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“法典编纂与案例制度研究”学术研讨会</w:t>
      </w:r>
      <w:r w:rsidRPr="00EF620F">
        <w:rPr>
          <w:rFonts w:ascii="????" w:hAnsi="????" w:cs="??_GB2312" w:hint="eastAsia"/>
          <w:b/>
          <w:bCs/>
          <w:kern w:val="0"/>
          <w:sz w:val="28"/>
          <w:szCs w:val="28"/>
        </w:rPr>
        <w:t>参会回执</w:t>
      </w:r>
    </w:p>
    <w:p w:rsidR="009A78A2" w:rsidRDefault="009A78A2" w:rsidP="00EF620F">
      <w:pPr>
        <w:widowControl/>
        <w:jc w:val="center"/>
        <w:rPr>
          <w:rFonts w:eastAsia="Times New Roman" w:cs="??_GB2312"/>
          <w:b/>
          <w:bCs/>
          <w:kern w:val="0"/>
          <w:sz w:val="20"/>
          <w:szCs w:val="20"/>
        </w:rPr>
      </w:pPr>
      <w:r>
        <w:rPr>
          <w:rFonts w:eastAsia="Times New Roman" w:cs="??_GB2312"/>
          <w:b/>
          <w:bCs/>
          <w:kern w:val="0"/>
          <w:sz w:val="20"/>
          <w:szCs w:val="20"/>
        </w:rPr>
        <w:t xml:space="preserve"> </w:t>
      </w:r>
    </w:p>
    <w:tbl>
      <w:tblPr>
        <w:tblW w:w="9058" w:type="dxa"/>
        <w:jc w:val="center"/>
        <w:tblLayout w:type="fixed"/>
        <w:tblLook w:val="0000"/>
      </w:tblPr>
      <w:tblGrid>
        <w:gridCol w:w="1766"/>
        <w:gridCol w:w="1424"/>
        <w:gridCol w:w="1286"/>
        <w:gridCol w:w="1401"/>
        <w:gridCol w:w="1559"/>
        <w:gridCol w:w="1622"/>
      </w:tblGrid>
      <w:tr w:rsidR="009A78A2" w:rsidTr="00EF620F">
        <w:trPr>
          <w:trHeight w:val="29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与会代表姓名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民</w:t>
            </w:r>
            <w:r>
              <w:rPr>
                <w:rFonts w:ascii="宋体" w:cs="宋体"/>
                <w:b/>
                <w:bCs/>
                <w:sz w:val="22"/>
                <w:szCs w:val="22"/>
              </w:rPr>
              <w:t> 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族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  <w:tr w:rsidR="009A78A2" w:rsidTr="00EF620F">
        <w:trPr>
          <w:trHeight w:val="25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邮政编码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  <w:tr w:rsidR="009A78A2" w:rsidTr="00EF620F">
        <w:trPr>
          <w:trHeight w:val="25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  <w:tr w:rsidR="009A78A2" w:rsidTr="00EF620F">
        <w:trPr>
          <w:trHeight w:val="25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职务</w:t>
            </w: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职称︿﹀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固定电话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移动电话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  <w:tr w:rsidR="009A78A2" w:rsidTr="00EF620F">
        <w:trPr>
          <w:trHeight w:val="24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  <w:tr w:rsidR="009A78A2" w:rsidTr="00EF620F">
        <w:trPr>
          <w:trHeight w:val="19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 w:rsidP="009A78A2">
            <w:pPr>
              <w:spacing w:line="480" w:lineRule="auto"/>
              <w:ind w:rightChars="-51" w:right="31680" w:firstLineChars="100" w:firstLine="31680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住宿安排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 w:rsidP="009A78A2">
            <w:pPr>
              <w:spacing w:line="480" w:lineRule="auto"/>
              <w:ind w:firstLineChars="200" w:firstLine="31680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标间</w:t>
            </w: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单间</w:t>
            </w: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A78A2" w:rsidTr="00EF620F">
        <w:trPr>
          <w:trHeight w:val="72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其他需要</w:t>
            </w:r>
          </w:p>
          <w:p w:rsidR="009A78A2" w:rsidRDefault="009A78A2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说明事项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A2" w:rsidRDefault="009A78A2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</w:tbl>
    <w:p w:rsidR="009A78A2" w:rsidRPr="002B1092" w:rsidRDefault="009A78A2" w:rsidP="009A78A2">
      <w:pPr>
        <w:tabs>
          <w:tab w:val="left" w:pos="1620"/>
        </w:tabs>
        <w:spacing w:beforeLines="50"/>
        <w:ind w:firstLineChars="200" w:firstLine="31680"/>
        <w:rPr>
          <w:rFonts w:ascii="仿宋_GB2312" w:eastAsia="仿宋_GB2312" w:cs="仿宋_GB2312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备注：以上回执请务必于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1998"/>
        </w:smartTagPr>
        <w:r>
          <w:rPr>
            <w:rFonts w:ascii="仿宋_GB2312" w:eastAsia="仿宋_GB2312"/>
            <w:sz w:val="22"/>
            <w:szCs w:val="22"/>
          </w:rPr>
          <w:t>3</w:t>
        </w:r>
        <w:r>
          <w:rPr>
            <w:rFonts w:ascii="仿宋_GB2312" w:eastAsia="仿宋_GB2312" w:hint="eastAsia"/>
            <w:b/>
            <w:bCs/>
            <w:sz w:val="24"/>
            <w:u w:val="single"/>
          </w:rPr>
          <w:t>月</w:t>
        </w:r>
        <w:r>
          <w:rPr>
            <w:rFonts w:eastAsia="仿宋_GB2312"/>
            <w:b/>
            <w:bCs/>
            <w:sz w:val="24"/>
            <w:u w:val="single"/>
          </w:rPr>
          <w:t>11</w:t>
        </w:r>
        <w:r>
          <w:rPr>
            <w:rFonts w:ascii="仿宋_GB2312" w:eastAsia="仿宋_GB2312" w:hint="eastAsia"/>
            <w:b/>
            <w:bCs/>
            <w:sz w:val="24"/>
            <w:u w:val="single"/>
          </w:rPr>
          <w:t>日</w:t>
        </w:r>
        <w:r>
          <w:rPr>
            <w:rFonts w:ascii="仿宋_GB2312" w:eastAsia="仿宋_GB2312" w:hint="eastAsia"/>
            <w:sz w:val="22"/>
            <w:szCs w:val="22"/>
          </w:rPr>
          <w:t>前</w:t>
        </w:r>
      </w:smartTag>
      <w:r>
        <w:rPr>
          <w:rFonts w:ascii="仿宋_GB2312" w:eastAsia="仿宋_GB2312" w:hint="eastAsia"/>
          <w:sz w:val="22"/>
          <w:szCs w:val="22"/>
        </w:rPr>
        <w:t>返回福州大学法学院，或发电子邮件至福州大学法学院电子邮箱（并请在</w:t>
      </w:r>
      <w:r>
        <w:rPr>
          <w:rFonts w:ascii="仿宋_GB2312" w:eastAsia="仿宋_GB2312" w:hint="eastAsia"/>
          <w:b/>
          <w:bCs/>
          <w:sz w:val="22"/>
          <w:szCs w:val="22"/>
          <w:u w:val="single"/>
        </w:rPr>
        <w:t>邮件标题上注明</w:t>
      </w:r>
      <w:r>
        <w:rPr>
          <w:rFonts w:eastAsia="仿宋_GB2312" w:hint="eastAsia"/>
          <w:b/>
          <w:bCs/>
          <w:sz w:val="22"/>
          <w:szCs w:val="22"/>
          <w:u w:val="single"/>
        </w:rPr>
        <w:t>“法典编纂与案例制度研究学术研讨会参会</w:t>
      </w:r>
      <w:r>
        <w:rPr>
          <w:rFonts w:ascii="仿宋_GB2312" w:eastAsia="仿宋_GB2312" w:hint="eastAsia"/>
          <w:b/>
          <w:bCs/>
          <w:sz w:val="22"/>
          <w:szCs w:val="22"/>
          <w:u w:val="single"/>
        </w:rPr>
        <w:t>回执”</w:t>
      </w:r>
      <w:r>
        <w:rPr>
          <w:rFonts w:ascii="仿宋_GB2312" w:eastAsia="仿宋_GB2312" w:hint="eastAsia"/>
          <w:sz w:val="22"/>
          <w:szCs w:val="22"/>
        </w:rPr>
        <w:t>）。如需代订福州大学专家招待楼酒店，请于住宿安排栏合适</w:t>
      </w:r>
      <w:r w:rsidRPr="002B1092">
        <w:rPr>
          <w:rFonts w:ascii="仿宋_GB2312" w:eastAsia="仿宋_GB2312" w:hint="eastAsia"/>
          <w:sz w:val="22"/>
          <w:szCs w:val="22"/>
        </w:rPr>
        <w:t>处</w:t>
      </w:r>
      <w:r>
        <w:rPr>
          <w:rFonts w:ascii="仿宋_GB2312" w:eastAsia="仿宋_GB2312" w:hint="eastAsia"/>
          <w:sz w:val="22"/>
          <w:szCs w:val="22"/>
        </w:rPr>
        <w:t>画勾，标间和单间均为</w:t>
      </w:r>
      <w:r>
        <w:rPr>
          <w:rFonts w:ascii="仿宋_GB2312" w:eastAsia="仿宋_GB2312"/>
          <w:sz w:val="22"/>
          <w:szCs w:val="22"/>
        </w:rPr>
        <w:t>300</w:t>
      </w:r>
      <w:r>
        <w:rPr>
          <w:rFonts w:ascii="仿宋_GB2312" w:eastAsia="仿宋_GB2312" w:hint="eastAsia"/>
          <w:sz w:val="22"/>
          <w:szCs w:val="22"/>
        </w:rPr>
        <w:t>元左右。</w:t>
      </w:r>
    </w:p>
    <w:p w:rsidR="009A78A2" w:rsidRDefault="009A78A2" w:rsidP="009954D0">
      <w:pPr>
        <w:spacing w:beforeLines="50"/>
        <w:ind w:firstLineChars="200" w:firstLine="31680"/>
        <w:rPr>
          <w:rFonts w:ascii="Calibri" w:hAnsi="Calibri" w:cs="Calibri"/>
          <w:sz w:val="20"/>
          <w:szCs w:val="20"/>
        </w:rPr>
      </w:pPr>
      <w:r>
        <w:rPr>
          <w:rFonts w:ascii="仿宋_GB2312" w:eastAsia="仿宋_GB2312" w:hint="eastAsia"/>
          <w:sz w:val="22"/>
          <w:szCs w:val="22"/>
        </w:rPr>
        <w:t>电子邮箱：</w:t>
      </w:r>
      <w:r w:rsidRPr="00FB5ED8">
        <w:rPr>
          <w:rFonts w:ascii="宋体" w:hAnsi="宋体" w:cs="宋体"/>
          <w:color w:val="000000"/>
          <w:szCs w:val="21"/>
        </w:rPr>
        <w:t>85961979@qq.com</w:t>
      </w:r>
      <w:r>
        <w:rPr>
          <w:rFonts w:eastAsia="仿宋_GB2312" w:cs="仿宋_GB2312"/>
          <w:sz w:val="22"/>
          <w:szCs w:val="22"/>
        </w:rPr>
        <w:t xml:space="preserve">      </w:t>
      </w:r>
      <w:r>
        <w:rPr>
          <w:rFonts w:eastAsia="仿宋_GB2312"/>
          <w:sz w:val="22"/>
          <w:szCs w:val="22"/>
        </w:rPr>
        <w:t xml:space="preserve">    </w:t>
      </w:r>
      <w:r>
        <w:rPr>
          <w:rFonts w:ascii="仿宋_GB2312" w:eastAsia="仿宋_GB2312" w:hint="eastAsia"/>
          <w:sz w:val="22"/>
          <w:szCs w:val="22"/>
        </w:rPr>
        <w:t>传</w:t>
      </w:r>
      <w:r>
        <w:rPr>
          <w:rFonts w:eastAsia="仿宋_GB2312" w:cs="仿宋_GB2312"/>
          <w:sz w:val="22"/>
          <w:szCs w:val="22"/>
        </w:rPr>
        <w:t xml:space="preserve">  </w:t>
      </w:r>
      <w:r>
        <w:rPr>
          <w:rFonts w:ascii="仿宋_GB2312" w:eastAsia="仿宋_GB2312" w:hint="eastAsia"/>
          <w:sz w:val="22"/>
          <w:szCs w:val="22"/>
        </w:rPr>
        <w:t>真：</w:t>
      </w:r>
      <w:r>
        <w:rPr>
          <w:rFonts w:eastAsia="仿宋_GB2312" w:cs="仿宋_GB2312"/>
          <w:sz w:val="22"/>
          <w:szCs w:val="22"/>
        </w:rPr>
        <w:t>0591-22866282</w:t>
      </w:r>
    </w:p>
    <w:p w:rsidR="009A78A2" w:rsidRDefault="009A78A2" w:rsidP="00EF620F">
      <w:pPr>
        <w:rPr>
          <w:szCs w:val="21"/>
        </w:rPr>
      </w:pPr>
      <w:r>
        <w:t xml:space="preserve"> </w:t>
      </w:r>
    </w:p>
    <w:p w:rsidR="009A78A2" w:rsidRPr="00EF620F" w:rsidRDefault="009A78A2" w:rsidP="009954D0">
      <w:pPr>
        <w:pStyle w:val="NormalWeb"/>
        <w:widowControl/>
        <w:spacing w:beforeAutospacing="0" w:afterAutospacing="0" w:line="360" w:lineRule="exact"/>
        <w:ind w:leftChars="2565" w:left="31680" w:firstLineChars="600" w:firstLine="31680"/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</w:t>
      </w: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9954D0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9A78A2" w:rsidRDefault="009A78A2" w:rsidP="00EF620F">
      <w:pPr>
        <w:spacing w:line="360" w:lineRule="auto"/>
        <w:ind w:firstLine="555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附件二：注释体例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</w:t>
      </w:r>
      <w:r w:rsidRPr="003F5178">
        <w:rPr>
          <w:rFonts w:ascii="宋体" w:hAnsi="宋体" w:hint="eastAsia"/>
          <w:szCs w:val="21"/>
        </w:rPr>
        <w:t>、注释为脚注，每页单独编号。文中及页下脚注均用带圈阿拉伯数字，文中标注于标点符号外。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2</w:t>
      </w:r>
      <w:r w:rsidRPr="003F5178">
        <w:rPr>
          <w:rFonts w:ascii="宋体" w:hAnsi="宋体" w:hint="eastAsia"/>
          <w:szCs w:val="21"/>
        </w:rPr>
        <w:t>、注文中的信息顺序为：作者、文献名称、卷次（如有）、出版者及版次、页码。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3</w:t>
      </w:r>
      <w:r w:rsidRPr="003F5178">
        <w:rPr>
          <w:rFonts w:ascii="宋体" w:hAnsi="宋体" w:hint="eastAsia"/>
          <w:szCs w:val="21"/>
        </w:rPr>
        <w:t>、定期出版物的注释顺序：作者、文章篇名、出版物名称年份及卷次、页码。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4</w:t>
      </w:r>
      <w:r w:rsidRPr="003F5178">
        <w:rPr>
          <w:rFonts w:ascii="宋体" w:hAnsi="宋体" w:hint="eastAsia"/>
          <w:szCs w:val="21"/>
        </w:rPr>
        <w:t>、引文作者为外国人者，注释顺序为：国籍，外加括号；作者、文献名称、译者、出版者及版次，页码。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5</w:t>
      </w:r>
      <w:r w:rsidRPr="003F5178">
        <w:rPr>
          <w:rFonts w:ascii="宋体" w:hAnsi="宋体" w:hint="eastAsia"/>
          <w:szCs w:val="21"/>
        </w:rPr>
        <w:t>、引用之作品，书、刊物、报纸及法律文件，用书名号；文章篇名用引号。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6</w:t>
      </w:r>
      <w:r w:rsidRPr="003F5178">
        <w:rPr>
          <w:rFonts w:ascii="宋体" w:hAnsi="宋体" w:hint="eastAsia"/>
          <w:szCs w:val="21"/>
        </w:rPr>
        <w:t>、引用权威机构或媒体网站提供的事实性材料，注释顺序为：作者、文章篇名、网站名、网页地址、访问时间。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7</w:t>
      </w:r>
      <w:r w:rsidRPr="003F5178">
        <w:rPr>
          <w:rFonts w:ascii="宋体" w:hAnsi="宋体" w:hint="eastAsia"/>
          <w:szCs w:val="21"/>
        </w:rPr>
        <w:t>、引用原版或影印版古籍，请务必注明版本与卷页。影印版古籍请注明现代出版项。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8</w:t>
      </w:r>
      <w:r w:rsidRPr="003F5178">
        <w:rPr>
          <w:rFonts w:ascii="宋体" w:hAnsi="宋体" w:hint="eastAsia"/>
          <w:szCs w:val="21"/>
        </w:rPr>
        <w:t>、引用中国台湾、香港、澳门地区出版或发行的文献，应在出版或发行机构前加注地区名。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9</w:t>
      </w:r>
      <w:r w:rsidRPr="003F5178">
        <w:rPr>
          <w:rFonts w:ascii="宋体" w:hAnsi="宋体" w:hint="eastAsia"/>
          <w:szCs w:val="21"/>
        </w:rPr>
        <w:t>、引用外文的，遵循该语种的通常注释习惯。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 xml:space="preserve">　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10</w:t>
      </w:r>
      <w:r w:rsidRPr="003F5178">
        <w:rPr>
          <w:rFonts w:ascii="宋体" w:hAnsi="宋体" w:hint="eastAsia"/>
          <w:szCs w:val="21"/>
        </w:rPr>
        <w:t>、同一文献两次或两次以上引用者，第二次引用时，若紧接第一次，则直接“同上注，第</w:t>
      </w:r>
      <w:bookmarkStart w:id="0" w:name="OLE_LINK6"/>
      <w:bookmarkStart w:id="1" w:name="OLE_LINK5"/>
      <w:r w:rsidRPr="003F5178">
        <w:rPr>
          <w:rFonts w:ascii="宋体" w:hAnsi="宋体" w:hint="eastAsia"/>
          <w:szCs w:val="21"/>
        </w:rPr>
        <w:t>×</w:t>
      </w:r>
      <w:bookmarkEnd w:id="0"/>
      <w:bookmarkEnd w:id="1"/>
      <w:r w:rsidRPr="003F5178">
        <w:rPr>
          <w:rFonts w:ascii="宋体" w:hAnsi="宋体" w:hint="eastAsia"/>
          <w:szCs w:val="21"/>
        </w:rPr>
        <w:t>×页”即可；若两次引用之间有间隔，则注释顺序为：作者姓名、文献名称或文章篇名、页码。作者如为多人，第二次引用只需注明第一作者，但其名后应加“等”字。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11</w:t>
      </w:r>
      <w:r w:rsidRPr="003F5178">
        <w:rPr>
          <w:rFonts w:ascii="宋体" w:hAnsi="宋体" w:hint="eastAsia"/>
          <w:szCs w:val="21"/>
        </w:rPr>
        <w:t>、非引用原文者，注释前加“参见”；非引自原始出处者，注释前加“转引自”。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12</w:t>
      </w:r>
      <w:r w:rsidRPr="003F5178">
        <w:rPr>
          <w:rFonts w:ascii="宋体" w:hAnsi="宋体" w:hint="eastAsia"/>
          <w:szCs w:val="21"/>
        </w:rPr>
        <w:t>、原则上不主张引用未公开出版物及一般普通网站随意可放入的文章。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13</w:t>
      </w:r>
      <w:r w:rsidRPr="003F5178">
        <w:rPr>
          <w:rFonts w:ascii="宋体" w:hAnsi="宋体" w:hint="eastAsia"/>
          <w:szCs w:val="21"/>
        </w:rPr>
        <w:t>、正文中引文超过</w:t>
      </w:r>
      <w:r w:rsidRPr="003F5178">
        <w:rPr>
          <w:rFonts w:ascii="宋体" w:hAnsi="宋体"/>
          <w:szCs w:val="21"/>
        </w:rPr>
        <w:t>100</w:t>
      </w:r>
      <w:r w:rsidRPr="003F5178">
        <w:rPr>
          <w:rFonts w:ascii="宋体" w:hAnsi="宋体" w:hint="eastAsia"/>
          <w:szCs w:val="21"/>
        </w:rPr>
        <w:t>字者，应缩排并变换字体排版。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14</w:t>
      </w:r>
      <w:r w:rsidRPr="003F5178">
        <w:rPr>
          <w:rFonts w:ascii="宋体" w:hAnsi="宋体" w:hint="eastAsia"/>
          <w:szCs w:val="21"/>
        </w:rPr>
        <w:t>、注释示例：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1</w:t>
      </w:r>
      <w:r w:rsidRPr="003F5178">
        <w:rPr>
          <w:rFonts w:ascii="宋体" w:hAnsi="宋体" w:hint="eastAsia"/>
          <w:szCs w:val="21"/>
        </w:rPr>
        <w:t>）著作：①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张晋藩：《中国法律的传统与近代转型》（第</w:t>
      </w:r>
      <w:r w:rsidRPr="003F5178">
        <w:rPr>
          <w:rFonts w:ascii="宋体" w:hAnsi="宋体"/>
          <w:szCs w:val="21"/>
        </w:rPr>
        <w:t>2</w:t>
      </w:r>
      <w:r w:rsidRPr="003F5178">
        <w:rPr>
          <w:rFonts w:ascii="宋体" w:hAnsi="宋体" w:hint="eastAsia"/>
          <w:szCs w:val="21"/>
        </w:rPr>
        <w:t>版），法律出版社</w:t>
      </w:r>
      <w:r w:rsidRPr="003F5178">
        <w:rPr>
          <w:rFonts w:ascii="宋体" w:hAnsi="宋体"/>
          <w:szCs w:val="21"/>
        </w:rPr>
        <w:t>2005</w:t>
      </w:r>
      <w:r w:rsidRPr="003F5178">
        <w:rPr>
          <w:rFonts w:ascii="宋体" w:hAnsi="宋体" w:hint="eastAsia"/>
          <w:szCs w:val="21"/>
        </w:rPr>
        <w:t>年版，第</w:t>
      </w:r>
      <w:r w:rsidRPr="003F5178">
        <w:rPr>
          <w:rFonts w:ascii="宋体" w:hAnsi="宋体"/>
          <w:szCs w:val="21"/>
        </w:rPr>
        <w:t>55</w:t>
      </w:r>
      <w:r w:rsidRPr="003F5178">
        <w:rPr>
          <w:rFonts w:ascii="宋体" w:hAnsi="宋体" w:hint="eastAsia"/>
          <w:szCs w:val="21"/>
        </w:rPr>
        <w:t>页。再次引用，如中间无间隔：同上注，第</w:t>
      </w:r>
      <w:r w:rsidRPr="003F5178">
        <w:rPr>
          <w:rFonts w:ascii="宋体" w:hAnsi="宋体"/>
          <w:szCs w:val="21"/>
        </w:rPr>
        <w:t>65</w:t>
      </w:r>
      <w:r w:rsidRPr="003F5178">
        <w:rPr>
          <w:rFonts w:ascii="宋体" w:hAnsi="宋体" w:hint="eastAsia"/>
          <w:szCs w:val="21"/>
        </w:rPr>
        <w:t>页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。中间有间隔：张晋藩：《中国法律的传统与近代转型》，第</w:t>
      </w:r>
      <w:r w:rsidRPr="003F5178">
        <w:rPr>
          <w:rFonts w:ascii="宋体" w:hAnsi="宋体"/>
          <w:szCs w:val="21"/>
        </w:rPr>
        <w:t>78—80</w:t>
      </w:r>
      <w:r w:rsidRPr="003F5178">
        <w:rPr>
          <w:rFonts w:ascii="宋体" w:hAnsi="宋体" w:hint="eastAsia"/>
          <w:szCs w:val="21"/>
        </w:rPr>
        <w:t>页。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 xml:space="preserve">　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2</w:t>
      </w:r>
      <w:r w:rsidRPr="003F5178">
        <w:rPr>
          <w:rFonts w:ascii="宋体" w:hAnsi="宋体" w:hint="eastAsia"/>
          <w:szCs w:val="21"/>
        </w:rPr>
        <w:t>）论文：②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侯欣一：“试论革命根据地法律制度研究”，载《法学家》</w:t>
      </w:r>
      <w:r w:rsidRPr="003F5178">
        <w:rPr>
          <w:rFonts w:ascii="宋体" w:hAnsi="宋体"/>
          <w:szCs w:val="21"/>
        </w:rPr>
        <w:t>2008</w:t>
      </w:r>
      <w:r w:rsidRPr="003F5178">
        <w:rPr>
          <w:rFonts w:ascii="宋体" w:hAnsi="宋体" w:hint="eastAsia"/>
          <w:szCs w:val="21"/>
        </w:rPr>
        <w:t>年第</w:t>
      </w:r>
      <w:r w:rsidRPr="003F5178">
        <w:rPr>
          <w:rFonts w:ascii="宋体" w:hAnsi="宋体"/>
          <w:szCs w:val="21"/>
        </w:rPr>
        <w:t>3</w:t>
      </w:r>
      <w:r w:rsidRPr="003F5178">
        <w:rPr>
          <w:rFonts w:ascii="宋体" w:hAnsi="宋体" w:hint="eastAsia"/>
          <w:szCs w:val="21"/>
        </w:rPr>
        <w:t>期，第</w:t>
      </w:r>
      <w:r w:rsidRPr="003F5178">
        <w:rPr>
          <w:rFonts w:ascii="宋体" w:hAnsi="宋体"/>
          <w:szCs w:val="21"/>
        </w:rPr>
        <w:t>26</w:t>
      </w:r>
      <w:r w:rsidRPr="003F5178">
        <w:rPr>
          <w:rFonts w:ascii="宋体" w:hAnsi="宋体" w:hint="eastAsia"/>
          <w:szCs w:val="21"/>
        </w:rPr>
        <w:t>页。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3</w:t>
      </w:r>
      <w:r w:rsidRPr="003F5178">
        <w:rPr>
          <w:rFonts w:ascii="宋体" w:hAnsi="宋体" w:hint="eastAsia"/>
          <w:szCs w:val="21"/>
        </w:rPr>
        <w:t>）文集：③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陈金全：“西南少数民族法律生活”，载曾宪义主编：《法律文化研究》（第三辑），中国人民大学出版社</w:t>
      </w:r>
      <w:r w:rsidRPr="003F5178">
        <w:rPr>
          <w:rFonts w:ascii="宋体" w:hAnsi="宋体"/>
          <w:szCs w:val="21"/>
        </w:rPr>
        <w:t>2007</w:t>
      </w:r>
      <w:r w:rsidRPr="003F5178">
        <w:rPr>
          <w:rFonts w:ascii="宋体" w:hAnsi="宋体" w:hint="eastAsia"/>
          <w:szCs w:val="21"/>
        </w:rPr>
        <w:t>年版，第</w:t>
      </w:r>
      <w:r w:rsidRPr="003F5178">
        <w:rPr>
          <w:rFonts w:ascii="宋体" w:hAnsi="宋体"/>
          <w:szCs w:val="21"/>
        </w:rPr>
        <w:t>5</w:t>
      </w:r>
      <w:r w:rsidRPr="003F5178">
        <w:rPr>
          <w:rFonts w:ascii="宋体" w:hAnsi="宋体" w:hint="eastAsia"/>
          <w:szCs w:val="21"/>
        </w:rPr>
        <w:t>页。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4</w:t>
      </w:r>
      <w:r w:rsidRPr="003F5178">
        <w:rPr>
          <w:rFonts w:ascii="宋体" w:hAnsi="宋体" w:hint="eastAsia"/>
          <w:szCs w:val="21"/>
        </w:rPr>
        <w:t>）译作：④</w:t>
      </w:r>
      <w:r w:rsidRPr="003F5178">
        <w:rPr>
          <w:rFonts w:ascii="宋体" w:hAnsi="宋体"/>
          <w:szCs w:val="21"/>
        </w:rPr>
        <w:t xml:space="preserve"> [</w:t>
      </w:r>
      <w:r w:rsidRPr="003F5178">
        <w:rPr>
          <w:rFonts w:ascii="宋体" w:hAnsi="宋体" w:hint="eastAsia"/>
          <w:szCs w:val="21"/>
        </w:rPr>
        <w:t>英</w:t>
      </w:r>
      <w:r w:rsidRPr="003F5178">
        <w:rPr>
          <w:rFonts w:ascii="宋体" w:hAnsi="宋体"/>
          <w:szCs w:val="21"/>
        </w:rPr>
        <w:t>]</w:t>
      </w:r>
      <w:r w:rsidRPr="003F5178">
        <w:rPr>
          <w:rFonts w:ascii="宋体" w:hAnsi="宋体" w:hint="eastAsia"/>
          <w:szCs w:val="21"/>
        </w:rPr>
        <w:t>梅因：《古代法》，沈景一译，商务印书馆</w:t>
      </w:r>
      <w:r w:rsidRPr="003F5178">
        <w:rPr>
          <w:rFonts w:ascii="宋体" w:hAnsi="宋体"/>
          <w:szCs w:val="21"/>
        </w:rPr>
        <w:t>1959</w:t>
      </w:r>
      <w:r w:rsidRPr="003F5178">
        <w:rPr>
          <w:rFonts w:ascii="宋体" w:hAnsi="宋体" w:hint="eastAsia"/>
          <w:szCs w:val="21"/>
        </w:rPr>
        <w:t>年版，第</w:t>
      </w:r>
      <w:r w:rsidRPr="003F5178">
        <w:rPr>
          <w:rFonts w:ascii="宋体" w:hAnsi="宋体"/>
          <w:szCs w:val="21"/>
        </w:rPr>
        <w:t>282</w:t>
      </w:r>
      <w:r w:rsidRPr="003F5178">
        <w:rPr>
          <w:rFonts w:ascii="宋体" w:hAnsi="宋体" w:hint="eastAsia"/>
          <w:szCs w:val="21"/>
        </w:rPr>
        <w:t>页。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5</w:t>
      </w:r>
      <w:r w:rsidRPr="003F5178">
        <w:rPr>
          <w:rFonts w:ascii="宋体" w:hAnsi="宋体" w:hint="eastAsia"/>
          <w:szCs w:val="21"/>
        </w:rPr>
        <w:t>）报纸类：⑤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贺卫方：“复转军人进法院”，载《南方周末》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1998"/>
        </w:smartTagPr>
        <w:r w:rsidRPr="003F5178">
          <w:rPr>
            <w:rFonts w:ascii="宋体" w:hAnsi="宋体"/>
            <w:szCs w:val="21"/>
          </w:rPr>
          <w:t>1998</w:t>
        </w:r>
        <w:r w:rsidRPr="003F5178">
          <w:rPr>
            <w:rFonts w:ascii="宋体" w:hAnsi="宋体" w:hint="eastAsia"/>
            <w:szCs w:val="21"/>
          </w:rPr>
          <w:t>年</w:t>
        </w:r>
        <w:r w:rsidRPr="003F5178">
          <w:rPr>
            <w:rFonts w:ascii="宋体" w:hAnsi="宋体"/>
            <w:szCs w:val="21"/>
          </w:rPr>
          <w:t>1</w:t>
        </w:r>
        <w:r w:rsidRPr="003F5178">
          <w:rPr>
            <w:rFonts w:ascii="宋体" w:hAnsi="宋体" w:hint="eastAsia"/>
            <w:szCs w:val="21"/>
          </w:rPr>
          <w:t>月</w:t>
        </w:r>
        <w:r w:rsidRPr="003F5178">
          <w:rPr>
            <w:rFonts w:ascii="宋体" w:hAnsi="宋体"/>
            <w:szCs w:val="21"/>
          </w:rPr>
          <w:t>2</w:t>
        </w:r>
        <w:r w:rsidRPr="003F5178">
          <w:rPr>
            <w:rFonts w:ascii="宋体" w:hAnsi="宋体" w:hint="eastAsia"/>
            <w:szCs w:val="21"/>
          </w:rPr>
          <w:t>日</w:t>
        </w:r>
      </w:smartTag>
      <w:r w:rsidRPr="003F5178">
        <w:rPr>
          <w:rFonts w:ascii="宋体" w:hAnsi="宋体" w:hint="eastAsia"/>
          <w:szCs w:val="21"/>
        </w:rPr>
        <w:t>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6</w:t>
      </w:r>
      <w:r w:rsidRPr="003F5178">
        <w:rPr>
          <w:rFonts w:ascii="宋体" w:hAnsi="宋体" w:hint="eastAsia"/>
          <w:szCs w:val="21"/>
        </w:rPr>
        <w:t>）港台类：⑥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戴炎辉：《中国法制史》，台湾三民书局</w:t>
      </w:r>
      <w:r w:rsidRPr="003F5178">
        <w:rPr>
          <w:rFonts w:ascii="宋体" w:hAnsi="宋体"/>
          <w:szCs w:val="21"/>
        </w:rPr>
        <w:t>1966</w:t>
      </w:r>
      <w:r w:rsidRPr="003F5178">
        <w:rPr>
          <w:rFonts w:ascii="宋体" w:hAnsi="宋体" w:hint="eastAsia"/>
          <w:szCs w:val="21"/>
        </w:rPr>
        <w:t>年版，第</w:t>
      </w:r>
      <w:r w:rsidRPr="003F5178">
        <w:rPr>
          <w:rFonts w:ascii="宋体" w:hAnsi="宋体"/>
          <w:szCs w:val="21"/>
        </w:rPr>
        <w:t>45</w:t>
      </w:r>
      <w:r w:rsidRPr="003F5178">
        <w:rPr>
          <w:rFonts w:ascii="宋体" w:hAnsi="宋体" w:hint="eastAsia"/>
          <w:szCs w:val="21"/>
        </w:rPr>
        <w:t>页。</w:t>
      </w:r>
    </w:p>
    <w:p w:rsidR="009A78A2" w:rsidRPr="003F5178" w:rsidRDefault="009A78A2" w:rsidP="00EF620F">
      <w:pPr>
        <w:spacing w:line="276" w:lineRule="auto"/>
        <w:ind w:firstLine="555"/>
        <w:rPr>
          <w:rFonts w:ascii="宋体"/>
          <w:sz w:val="24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7</w:t>
      </w:r>
      <w:r w:rsidRPr="003F5178">
        <w:rPr>
          <w:rFonts w:ascii="宋体" w:hAnsi="宋体" w:hint="eastAsia"/>
          <w:szCs w:val="21"/>
        </w:rPr>
        <w:t>）古籍类：⑦（宋）马端临：《文献通考·刑考六·刑制》，华东师范大学古籍研究所点校，中华书局</w:t>
      </w:r>
      <w:r w:rsidRPr="003F5178">
        <w:rPr>
          <w:rFonts w:ascii="宋体" w:hAnsi="宋体"/>
          <w:szCs w:val="21"/>
        </w:rPr>
        <w:t>2011</w:t>
      </w:r>
      <w:r w:rsidRPr="003F5178">
        <w:rPr>
          <w:rFonts w:ascii="宋体" w:hAnsi="宋体" w:hint="eastAsia"/>
          <w:szCs w:val="21"/>
        </w:rPr>
        <w:t>年版，第</w:t>
      </w:r>
      <w:r w:rsidRPr="003F5178">
        <w:rPr>
          <w:rFonts w:ascii="宋体" w:hAnsi="宋体"/>
          <w:szCs w:val="21"/>
        </w:rPr>
        <w:t>4993</w:t>
      </w:r>
      <w:r w:rsidRPr="003F5178">
        <w:rPr>
          <w:rFonts w:ascii="宋体" w:hAnsi="宋体" w:hint="eastAsia"/>
          <w:szCs w:val="21"/>
        </w:rPr>
        <w:t>页。</w:t>
      </w:r>
    </w:p>
    <w:p w:rsidR="009A78A2" w:rsidRPr="00F96327" w:rsidRDefault="009A78A2" w:rsidP="00B93365">
      <w:pPr>
        <w:ind w:firstLineChars="200" w:firstLine="31680"/>
        <w:rPr>
          <w:szCs w:val="21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 </w:t>
      </w:r>
    </w:p>
    <w:sectPr w:rsidR="009A78A2" w:rsidRPr="00F96327" w:rsidSect="00081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A2" w:rsidRDefault="009A78A2" w:rsidP="005E6183">
      <w:r>
        <w:separator/>
      </w:r>
    </w:p>
  </w:endnote>
  <w:endnote w:type="continuationSeparator" w:id="0">
    <w:p w:rsidR="009A78A2" w:rsidRDefault="009A78A2" w:rsidP="005E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?_GB23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??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A2" w:rsidRDefault="009A78A2" w:rsidP="005E6183">
      <w:r>
        <w:separator/>
      </w:r>
    </w:p>
  </w:footnote>
  <w:footnote w:type="continuationSeparator" w:id="0">
    <w:p w:rsidR="009A78A2" w:rsidRDefault="009A78A2" w:rsidP="005E6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6DB"/>
    <w:rsid w:val="0002095F"/>
    <w:rsid w:val="00040E86"/>
    <w:rsid w:val="00064D9D"/>
    <w:rsid w:val="00081758"/>
    <w:rsid w:val="000C54D0"/>
    <w:rsid w:val="00122A60"/>
    <w:rsid w:val="0014531A"/>
    <w:rsid w:val="001725F2"/>
    <w:rsid w:val="00173E37"/>
    <w:rsid w:val="00190DA0"/>
    <w:rsid w:val="001C5B9A"/>
    <w:rsid w:val="001E1D59"/>
    <w:rsid w:val="00245277"/>
    <w:rsid w:val="00246E8C"/>
    <w:rsid w:val="0027211A"/>
    <w:rsid w:val="00297227"/>
    <w:rsid w:val="002B1092"/>
    <w:rsid w:val="00323098"/>
    <w:rsid w:val="003336DB"/>
    <w:rsid w:val="00361C4D"/>
    <w:rsid w:val="00362A28"/>
    <w:rsid w:val="003750D2"/>
    <w:rsid w:val="003C7473"/>
    <w:rsid w:val="003F5178"/>
    <w:rsid w:val="0040258C"/>
    <w:rsid w:val="00422287"/>
    <w:rsid w:val="00472014"/>
    <w:rsid w:val="004868B3"/>
    <w:rsid w:val="004A5512"/>
    <w:rsid w:val="0052509E"/>
    <w:rsid w:val="005E0252"/>
    <w:rsid w:val="005E6183"/>
    <w:rsid w:val="00650397"/>
    <w:rsid w:val="0066302A"/>
    <w:rsid w:val="00675A44"/>
    <w:rsid w:val="00682270"/>
    <w:rsid w:val="00693174"/>
    <w:rsid w:val="006B1C97"/>
    <w:rsid w:val="006C5EDA"/>
    <w:rsid w:val="006E3A08"/>
    <w:rsid w:val="0070321D"/>
    <w:rsid w:val="00735B62"/>
    <w:rsid w:val="00774CF2"/>
    <w:rsid w:val="008D2234"/>
    <w:rsid w:val="009164E8"/>
    <w:rsid w:val="00970ED6"/>
    <w:rsid w:val="00986F9F"/>
    <w:rsid w:val="009954D0"/>
    <w:rsid w:val="009A78A2"/>
    <w:rsid w:val="00A31141"/>
    <w:rsid w:val="00A975FC"/>
    <w:rsid w:val="00AC14B0"/>
    <w:rsid w:val="00AC24AD"/>
    <w:rsid w:val="00B93365"/>
    <w:rsid w:val="00BB4606"/>
    <w:rsid w:val="00BB79BF"/>
    <w:rsid w:val="00BC0755"/>
    <w:rsid w:val="00BC39DC"/>
    <w:rsid w:val="00C16652"/>
    <w:rsid w:val="00C360AB"/>
    <w:rsid w:val="00CD30F3"/>
    <w:rsid w:val="00CF0EC6"/>
    <w:rsid w:val="00D01258"/>
    <w:rsid w:val="00D03625"/>
    <w:rsid w:val="00D97E2F"/>
    <w:rsid w:val="00DE5D7A"/>
    <w:rsid w:val="00E60175"/>
    <w:rsid w:val="00EB657D"/>
    <w:rsid w:val="00EF620F"/>
    <w:rsid w:val="00F07834"/>
    <w:rsid w:val="00F96327"/>
    <w:rsid w:val="00FB5ED8"/>
    <w:rsid w:val="00FB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D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C39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E6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618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6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6183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DE5D7A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Date">
    <w:name w:val="Date"/>
    <w:basedOn w:val="Normal"/>
    <w:next w:val="Normal"/>
    <w:link w:val="DateChar"/>
    <w:uiPriority w:val="99"/>
    <w:rsid w:val="00EF620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90D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209</Words>
  <Characters>1195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附件一：“法典编纂与案例制度研究”学术研讨会参会回执</dc:title>
  <dc:subject/>
  <dc:creator>CC</dc:creator>
  <cp:keywords/>
  <dc:description/>
  <cp:lastModifiedBy>Lenovo</cp:lastModifiedBy>
  <cp:revision>2</cp:revision>
  <cp:lastPrinted>2017-02-20T02:24:00Z</cp:lastPrinted>
  <dcterms:created xsi:type="dcterms:W3CDTF">2017-02-20T02:25:00Z</dcterms:created>
  <dcterms:modified xsi:type="dcterms:W3CDTF">2017-02-20T02:25:00Z</dcterms:modified>
</cp:coreProperties>
</file>